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四川省普通高等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校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本专科省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优毕业生登记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p>
      <w:pPr>
        <w:ind w:right="16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  <w:t>填表日期:     年  月  日</w:t>
      </w: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42"/>
        <w:gridCol w:w="906"/>
        <w:gridCol w:w="567"/>
        <w:gridCol w:w="1417"/>
        <w:gridCol w:w="1559"/>
        <w:gridCol w:w="1134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名称</w:t>
            </w:r>
          </w:p>
        </w:tc>
        <w:tc>
          <w:tcPr>
            <w:tcW w:w="30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专  业</w:t>
            </w:r>
          </w:p>
        </w:tc>
        <w:tc>
          <w:tcPr>
            <w:tcW w:w="32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职 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3" w:hRule="atLeast"/>
        </w:trPr>
        <w:tc>
          <w:tcPr>
            <w:tcW w:w="890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主要事迹：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</w:tc>
      </w:tr>
    </w:tbl>
    <w:p>
      <w:pPr>
        <w:spacing w:line="10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8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学院（系）意见：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  </w:t>
            </w: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四川省教育厅审批意见: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</w:t>
            </w:r>
          </w:p>
        </w:tc>
      </w:tr>
    </w:tbl>
    <w:p>
      <w:pPr>
        <w:spacing w:line="360" w:lineRule="auto"/>
        <w:ind w:right="480"/>
        <w:jc w:val="righ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四川省教育厅  制表</w:t>
      </w:r>
    </w:p>
    <w:p>
      <w:pPr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备注：</w:t>
      </w:r>
    </w:p>
    <w:p>
      <w:pPr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1．此表一式二份，正反面打印，报省教育厅审批后返回学校，一份学校留存文书档案，另一份装入毕业生本人档案；</w:t>
      </w:r>
    </w:p>
    <w:p>
      <w:r>
        <w:rPr>
          <w:rFonts w:hint="default" w:ascii="Times New Roman" w:hAnsi="Times New Roman" w:eastAsia="宋体" w:cs="Times New Roman"/>
          <w:sz w:val="24"/>
        </w:rPr>
        <w:t>2．本表内容可打印或用钢笔填写，字迹要清楚。</w:t>
      </w: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C6A"/>
    <w:rsid w:val="0B176C6A"/>
    <w:rsid w:val="21FE2C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2016-10-18T07:15:00Z</dcterms:created>
  <dc:creator>lenovo</dc:creator>
  <cp:lastModifiedBy>lenovo</cp:lastModifiedBy>
  <dcterms:modified xsi:type="dcterms:W3CDTF">2016-10-25T01:24:36Z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