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CB" w:rsidRPr="00AA7E57" w:rsidRDefault="009A4AE9" w:rsidP="00E32BFD">
      <w:pPr>
        <w:spacing w:after="0" w:line="240" w:lineRule="auto"/>
        <w:ind w:firstLineChars="147" w:firstLine="310"/>
        <w:contextualSpacing/>
        <w:outlineLvl w:val="0"/>
        <w:rPr>
          <w:rFonts w:ascii="黑体" w:eastAsia="黑体" w:hAnsi="宋体"/>
          <w:b/>
          <w:bCs/>
          <w:color w:val="000000" w:themeColor="text1"/>
          <w:sz w:val="21"/>
          <w:szCs w:val="21"/>
          <w:lang w:eastAsia="zh-CN"/>
        </w:rPr>
      </w:pPr>
      <w:bookmarkStart w:id="0" w:name="_Toc415730504"/>
      <w:r>
        <w:rPr>
          <w:rFonts w:ascii="黑体" w:eastAsia="黑体" w:hAnsi="宋体" w:hint="eastAsia"/>
          <w:b/>
          <w:bCs/>
          <w:sz w:val="21"/>
          <w:szCs w:val="21"/>
          <w:lang w:eastAsia="zh-CN"/>
        </w:rPr>
        <w:t>附件2</w:t>
      </w:r>
      <w:r w:rsidR="00E32BFD">
        <w:rPr>
          <w:rFonts w:ascii="黑体" w:eastAsia="黑体" w:hAnsi="宋体" w:hint="eastAsia"/>
          <w:b/>
          <w:bCs/>
          <w:sz w:val="21"/>
          <w:szCs w:val="21"/>
          <w:lang w:eastAsia="zh-CN"/>
        </w:rPr>
        <w:t xml:space="preserve">                            </w:t>
      </w:r>
      <w:r>
        <w:rPr>
          <w:rFonts w:ascii="黑体" w:eastAsia="黑体" w:hAnsi="宋体" w:hint="eastAsia"/>
          <w:b/>
          <w:bCs/>
          <w:sz w:val="21"/>
          <w:szCs w:val="21"/>
          <w:lang w:eastAsia="zh-CN"/>
        </w:rPr>
        <w:t xml:space="preserve"> </w:t>
      </w:r>
      <w:r w:rsidR="00E32BFD">
        <w:rPr>
          <w:rFonts w:ascii="黑体" w:eastAsia="黑体" w:hAnsi="宋体" w:hint="eastAsia"/>
          <w:b/>
          <w:bCs/>
          <w:sz w:val="21"/>
          <w:szCs w:val="21"/>
          <w:lang w:eastAsia="zh-CN"/>
        </w:rPr>
        <w:t>商学院</w:t>
      </w:r>
      <w:r w:rsidR="00C91BCB">
        <w:rPr>
          <w:rFonts w:ascii="黑体" w:eastAsia="黑体" w:hAnsi="宋体" w:hint="eastAsia"/>
          <w:b/>
          <w:bCs/>
          <w:sz w:val="21"/>
          <w:szCs w:val="21"/>
          <w:lang w:eastAsia="zh-CN"/>
        </w:rPr>
        <w:t>学生综合素质测</w:t>
      </w:r>
      <w:r w:rsidR="00C91BCB" w:rsidRPr="00AA7E57">
        <w:rPr>
          <w:rFonts w:ascii="黑体" w:eastAsia="黑体" w:hAnsi="宋体" w:hint="eastAsia"/>
          <w:b/>
          <w:bCs/>
          <w:color w:val="000000" w:themeColor="text1"/>
          <w:sz w:val="21"/>
          <w:szCs w:val="21"/>
          <w:lang w:eastAsia="zh-CN"/>
        </w:rPr>
        <w:t>评表</w:t>
      </w:r>
      <w:bookmarkEnd w:id="0"/>
      <w:r w:rsidR="00F6340D" w:rsidRPr="00AA7E57">
        <w:rPr>
          <w:rFonts w:ascii="黑体" w:eastAsia="黑体" w:hAnsi="宋体" w:hint="eastAsia"/>
          <w:b/>
          <w:bCs/>
          <w:color w:val="000000" w:themeColor="text1"/>
          <w:sz w:val="21"/>
          <w:szCs w:val="21"/>
          <w:lang w:eastAsia="zh-CN"/>
        </w:rPr>
        <w:t>（</w:t>
      </w:r>
      <w:r w:rsidR="009F6BC9" w:rsidRPr="00461FD4">
        <w:rPr>
          <w:rFonts w:ascii="黑体" w:eastAsia="黑体" w:hAnsi="宋体" w:hint="eastAsia"/>
          <w:b/>
          <w:bCs/>
          <w:color w:val="FF0000"/>
          <w:sz w:val="21"/>
          <w:szCs w:val="21"/>
          <w:lang w:eastAsia="zh-CN"/>
        </w:rPr>
        <w:t>2019-2020学年</w:t>
      </w:r>
      <w:r w:rsidR="00F6340D" w:rsidRPr="00AA7E57">
        <w:rPr>
          <w:rFonts w:ascii="黑体" w:eastAsia="黑体" w:hAnsi="宋体" w:hint="eastAsia"/>
          <w:b/>
          <w:bCs/>
          <w:color w:val="000000" w:themeColor="text1"/>
          <w:sz w:val="21"/>
          <w:szCs w:val="21"/>
          <w:lang w:eastAsia="zh-CN"/>
        </w:rPr>
        <w:t>）</w:t>
      </w:r>
    </w:p>
    <w:p w:rsidR="00C91BCB" w:rsidRPr="00AA7E57" w:rsidRDefault="00C91BCB" w:rsidP="00C91BCB">
      <w:pPr>
        <w:spacing w:after="0" w:line="240" w:lineRule="auto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姓名：   </w:t>
      </w:r>
      <w:r w:rsidR="001E1B33"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  </w:t>
      </w: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 专业：         </w:t>
      </w:r>
      <w:r w:rsidR="00F47850"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     </w:t>
      </w: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</w:t>
      </w:r>
      <w:r w:rsidR="00F47850"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</w:t>
      </w: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班级：         </w:t>
      </w:r>
      <w:r w:rsidR="00F47850"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</w:t>
      </w: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学号：</w:t>
      </w: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ab/>
      </w:r>
      <w:r w:rsidR="001E1B33"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  </w:t>
      </w:r>
      <w:r w:rsidR="00F47850"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         </w:t>
      </w:r>
      <w:r w:rsidRPr="00AA7E57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 xml:space="preserve"> 联系电话：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92"/>
        <w:gridCol w:w="7513"/>
        <w:gridCol w:w="567"/>
        <w:gridCol w:w="992"/>
      </w:tblGrid>
      <w:tr w:rsidR="00DC11A8" w:rsidRPr="00AA7E57" w:rsidTr="00181A27">
        <w:trPr>
          <w:trHeight w:val="3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1A8" w:rsidRPr="00AA7E57" w:rsidRDefault="00A0502A" w:rsidP="00EA413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20"/>
                <w:szCs w:val="20"/>
                <w:lang w:eastAsia="zh-CN"/>
              </w:rPr>
              <w:t>一级指标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A0502A" w:rsidP="00A57AEC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20"/>
                <w:szCs w:val="20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二级指标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color w:val="000000" w:themeColor="text1"/>
                <w:kern w:val="2"/>
                <w:sz w:val="20"/>
                <w:szCs w:val="20"/>
                <w:lang w:eastAsia="zh-CN"/>
              </w:rPr>
            </w:pPr>
            <w:r w:rsidRPr="00AA7E57">
              <w:rPr>
                <w:rFonts w:ascii="黑体" w:eastAsia="黑体" w:hAnsi="宋体" w:hint="eastAsia"/>
                <w:b/>
                <w:bCs/>
                <w:color w:val="000000" w:themeColor="text1"/>
                <w:kern w:val="2"/>
                <w:sz w:val="20"/>
                <w:szCs w:val="20"/>
              </w:rPr>
              <w:t>加      分       细     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1A8" w:rsidRPr="00AA7E57" w:rsidRDefault="00DC11A8" w:rsidP="006777B2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b/>
                <w:color w:val="000000" w:themeColor="text1"/>
                <w:kern w:val="2"/>
                <w:sz w:val="13"/>
                <w:szCs w:val="13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3"/>
                <w:szCs w:val="13"/>
              </w:rPr>
              <w:t>小计分数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DC11A8" w:rsidP="00710DC3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3"/>
                <w:szCs w:val="13"/>
                <w:lang w:eastAsia="zh-CN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3"/>
                <w:szCs w:val="13"/>
              </w:rPr>
              <w:t>加分项</w:t>
            </w:r>
          </w:p>
        </w:tc>
      </w:tr>
      <w:tr w:rsidR="00DC11A8" w:rsidRPr="00AA7E57" w:rsidTr="00181A2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133" w:rsidRPr="00AA7E57" w:rsidRDefault="00DC11A8" w:rsidP="00EA4133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德育素质</w:t>
            </w:r>
          </w:p>
          <w:p w:rsidR="00DC11A8" w:rsidRPr="00AA7E57" w:rsidRDefault="00EA4133" w:rsidP="008922B2">
            <w:pPr>
              <w:tabs>
                <w:tab w:val="left" w:pos="1845"/>
              </w:tabs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（此项最多可</w:t>
            </w:r>
            <w:r w:rsidR="008922B2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记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10分）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DC11A8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思想政治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40D" w:rsidRPr="00AA7E57" w:rsidRDefault="00F6340D" w:rsidP="0043659E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正式党员</w:t>
            </w:r>
            <w:r w:rsidR="0043659E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分；预备党员</w:t>
            </w:r>
            <w:r w:rsidR="0043659E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2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分；党校结业0.5分；交入党申请书0.3分。（可以累加）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DC11A8" w:rsidRPr="00AA7E57" w:rsidTr="00181A2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1A8" w:rsidRPr="00AA7E57" w:rsidRDefault="00DC11A8" w:rsidP="00DC11A8">
            <w:pPr>
              <w:tabs>
                <w:tab w:val="left" w:pos="1845"/>
              </w:tabs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DC11A8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生活观念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73" w:rsidRPr="00AA7E57" w:rsidRDefault="005828D7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院级十佳</w:t>
            </w:r>
            <w:r w:rsidR="00F61FFF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三好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寝室0.5分/次；</w:t>
            </w:r>
            <w:r w:rsidR="00DC11A8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校级文明寝室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和特色寝室</w:t>
            </w:r>
            <w:r w:rsidR="00DC11A8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0.5分/次；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校级十佳文明寝室十佳特色寝室1分/次</w:t>
            </w:r>
            <w:r w:rsidR="00CB5CD2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="003A2F1A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="00CB5CD2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</w:t>
            </w:r>
            <w:r w:rsidR="00F61FFF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同一项目以最高级别为准</w:t>
            </w:r>
            <w:r w:rsidR="00CB5CD2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DC11A8" w:rsidRPr="00AA7E57" w:rsidTr="00181A27">
        <w:trPr>
          <w:trHeight w:val="34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1A8" w:rsidRPr="00AA7E57" w:rsidRDefault="00DC11A8" w:rsidP="00DC11A8">
            <w:pPr>
              <w:tabs>
                <w:tab w:val="left" w:pos="1845"/>
              </w:tabs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DC11A8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团队观念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92C" w:rsidRPr="00AA7E57" w:rsidRDefault="00C900D4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校级集体荣誉0.5分/人；</w:t>
            </w:r>
            <w:r w:rsidR="00DC11A8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校级十佳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集体荣誉</w:t>
            </w:r>
            <w:r w:rsidR="00DC11A8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1分</w:t>
            </w:r>
            <w:r w:rsidR="0059067D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/人；</w:t>
            </w:r>
            <w:r w:rsidR="00891469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区</w:t>
            </w:r>
            <w:r w:rsidR="002A2FB7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市级集体荣誉1.5分/人；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省级集体</w:t>
            </w:r>
            <w:r w:rsidR="002A2FB7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荣誉2分/人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</w:t>
            </w:r>
            <w:r w:rsidR="002A2FB7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国家级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集体</w:t>
            </w:r>
            <w:r w:rsidR="002A2FB7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3分</w:t>
            </w:r>
            <w:r w:rsidR="002A2FB7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/人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="00CC1BD0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（同一项目以最高级别为准）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DC11A8" w:rsidRPr="00AA7E57" w:rsidTr="00181A27">
        <w:trPr>
          <w:trHeight w:val="303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1A8" w:rsidRPr="00AA7E57" w:rsidRDefault="00DC11A8" w:rsidP="00DC11A8">
            <w:pPr>
              <w:tabs>
                <w:tab w:val="left" w:pos="1845"/>
              </w:tabs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1A8" w:rsidRPr="00AA7E57" w:rsidRDefault="00DC11A8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</w:rPr>
            </w:pP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法纪素养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026" w:rsidRPr="00AA7E57" w:rsidRDefault="009A3B0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通报批评：</w:t>
            </w:r>
            <w:r w:rsidR="002A2FB7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="00DC11A8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-0.5分/次</w:t>
            </w:r>
            <w:r w:rsidR="00EA0026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</w:t>
            </w:r>
          </w:p>
          <w:p w:rsidR="00B10D73" w:rsidRPr="00AA7E57" w:rsidRDefault="009304EB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校级处分：警告-2分，严重警告-4分，记过-6分，留校察看-8分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1A8" w:rsidRPr="00AA7E57" w:rsidRDefault="00DC11A8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6B6233" w:rsidRPr="00971EF1" w:rsidTr="00181A27">
        <w:trPr>
          <w:trHeight w:val="437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233" w:rsidRPr="0051495F" w:rsidRDefault="006B6233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33" w:rsidRPr="002409A2" w:rsidRDefault="006B6233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道德修养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33" w:rsidRPr="002409A2" w:rsidRDefault="006B6233" w:rsidP="009834C3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个人荣誉：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院级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0.3分；校级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0.5分；</w:t>
            </w:r>
            <w:r w:rsidR="00891469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区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市级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1分；省级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2分；国家级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荣誉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3分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（可以累加</w:t>
            </w:r>
            <w:r w:rsidR="001818F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上一</w:t>
            </w:r>
            <w:r w:rsidR="00C41FDA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学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年</w:t>
            </w:r>
            <w:r w:rsidR="00C41FDA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评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的</w:t>
            </w:r>
            <w:r w:rsidRPr="00AA7596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奖学金证书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不能加分）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3" w:rsidRPr="0051495F" w:rsidRDefault="006B6233" w:rsidP="00F25557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233" w:rsidRPr="0051495F" w:rsidRDefault="006B6233" w:rsidP="00F25557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CC1BD0" w:rsidRPr="00971EF1" w:rsidTr="00181A27">
        <w:trPr>
          <w:trHeight w:val="44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1495F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智育素质</w:t>
            </w:r>
          </w:p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1495F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（60分）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学习成绩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学年加权平均成绩的</w:t>
            </w:r>
            <w:r w:rsidR="00A220C7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60% 。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</w:t>
            </w:r>
            <w:r w:rsidR="00A220C7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以</w:t>
            </w:r>
            <w:r w:rsidR="00EA0026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学院</w:t>
            </w:r>
            <w:r w:rsidR="00A220C7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教务办在教务系统转出的除全校任选课成绩外的加权平均成绩为准，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971EF1" w:rsidRDefault="00CC1BD0" w:rsidP="00971EF1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CC1BD0" w:rsidRPr="00971EF1" w:rsidTr="00181A27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3D62D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1495F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发展性素质</w:t>
            </w:r>
          </w:p>
          <w:p w:rsidR="00CC1BD0" w:rsidRPr="0051495F" w:rsidRDefault="00CC1BD0" w:rsidP="008922B2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1495F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（此项最多可</w:t>
            </w:r>
            <w:r w:rsidR="008922B2" w:rsidRPr="00005A91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记</w:t>
            </w:r>
            <w:r w:rsidRPr="0051495F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30分</w:t>
            </w:r>
            <w:r w:rsidRPr="0051495F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</w:rPr>
              <w:t>组织管理能力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860227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校院级干部、党支部</w:t>
            </w:r>
            <w:r w:rsidR="00860227" w:rsidRP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干部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、班长、团支书1.0分；学习委员加0.5分；班级其他干部、党小组组长以及校、院级干事加0.3分;五星级社团</w:t>
            </w:r>
            <w:r w:rsidR="00B21EE9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会长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加1.0分;四星级社团</w:t>
            </w:r>
            <w:r w:rsidR="00B21EE9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会长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</w:t>
            </w:r>
            <w:r w:rsid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0.8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分；三星及以下社团</w:t>
            </w:r>
            <w:r w:rsidR="00B21EE9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会长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</w:t>
            </w:r>
            <w:r w:rsid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0.5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</w:t>
            </w:r>
            <w:r w:rsidR="00BA354A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</w:t>
            </w:r>
            <w:r w:rsidR="000350E3" w:rsidRP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校级</w:t>
            </w:r>
            <w:r w:rsidR="00BA354A" w:rsidRPr="00BA354A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十佳文明</w:t>
            </w:r>
            <w:r w:rsidR="008A6284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(特色)</w:t>
            </w:r>
            <w:r w:rsidR="00BA354A" w:rsidRPr="00BA354A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寝室室长加1.0分，</w:t>
            </w:r>
            <w:r w:rsidR="000350E3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校级</w:t>
            </w:r>
            <w:r w:rsidR="00BA354A" w:rsidRPr="00BA354A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文明</w:t>
            </w:r>
            <w:r w:rsidR="008A6284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(特色)</w:t>
            </w:r>
            <w:r w:rsidR="00BA354A" w:rsidRPr="00BA354A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寝室室长加0.3分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（可以累加一次。学院开会未到扣</w:t>
            </w:r>
            <w:r w:rsidRP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0.</w:t>
            </w:r>
            <w:r w:rsidR="00860227" w:rsidRP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1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/次、纪律委员所交考勤表与教师抽查不一致扣</w:t>
            </w:r>
            <w:r w:rsidR="00860227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0.1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/次）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971EF1" w:rsidRDefault="00CC1BD0" w:rsidP="00971EF1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971EF1" w:rsidRDefault="00CC1BD0" w:rsidP="00971EF1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</w:tc>
      </w:tr>
      <w:tr w:rsidR="00F85A03" w:rsidRPr="00971EF1" w:rsidTr="00181A2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A03" w:rsidRPr="0051495F" w:rsidRDefault="00F85A03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03" w:rsidRPr="002409A2" w:rsidRDefault="00F85A03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普通话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A03" w:rsidRPr="002409A2" w:rsidRDefault="00F85A03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普通话通过二级乙等者加0.3分；二级甲等者加0.5分；一级乙等者加1分</w:t>
            </w:r>
            <w:r w:rsidR="00B21EE9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；一级甲等者加2分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03" w:rsidRPr="00971EF1" w:rsidRDefault="00F85A03" w:rsidP="00971EF1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A03" w:rsidRPr="00971EF1" w:rsidRDefault="00F85A03" w:rsidP="00971EF1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</w:tc>
      </w:tr>
      <w:tr w:rsidR="00CC1BD0" w:rsidRPr="0051495F" w:rsidTr="00181A2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计算机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技能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通过计算机一级加1分；二级加1.5分；三级加2分；（可以累加）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 w:rsidP="00971EF1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CC1BD0" w:rsidRPr="0051495F" w:rsidTr="00181A27"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外语技能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英语通过四级（≧425分）加1.5，六级（≧425）加2分，口试加0.5分；</w:t>
            </w:r>
          </w:p>
          <w:p w:rsidR="00CC1BD0" w:rsidRPr="002409A2" w:rsidRDefault="00CC1BD0" w:rsidP="00A1299A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雅思</w:t>
            </w:r>
            <w:r w:rsidR="00AA451D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≧5.5分</w:t>
            </w:r>
            <w:r w:rsidR="00A1299A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,</w:t>
            </w:r>
            <w:r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托福</w:t>
            </w:r>
            <w:r w:rsidR="00AA451D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≧60分</w:t>
            </w:r>
            <w:r w:rsidR="00A1299A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,</w:t>
            </w:r>
            <w:r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GRE≧</w:t>
            </w:r>
            <w:r w:rsidR="00AA451D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310</w:t>
            </w:r>
            <w:r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分，</w:t>
            </w:r>
            <w:r w:rsidR="000D27E2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GMAT≧</w:t>
            </w:r>
            <w:r w:rsidR="002F4F1B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6</w:t>
            </w:r>
            <w:r w:rsidR="00AA451D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</w:t>
            </w:r>
            <w:r w:rsidR="000D27E2" w:rsidRPr="005B69F3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0分，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德福≧3级，法语通过四级，日语通过N1级，其他小语种达到申请学校水平，剑桥商务英语（BEC）中级及以上，</w:t>
            </w:r>
            <w:r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全国翻译资格考试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</w:t>
            </w:r>
            <w:r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CATTI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）过三级，都加2分。（可以累加）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</w:tr>
      <w:tr w:rsidR="00CC1BD0" w:rsidRPr="00254A7D" w:rsidTr="00181A27">
        <w:trPr>
          <w:trHeight w:val="918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职业技能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取得</w:t>
            </w:r>
            <w:r w:rsidR="0014376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以下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国家或行业认定的技能资格证书：</w:t>
            </w:r>
          </w:p>
          <w:p w:rsidR="00CC1BD0" w:rsidRPr="002409A2" w:rsidRDefault="00CC1BD0" w:rsidP="003E46B5">
            <w:pPr>
              <w:tabs>
                <w:tab w:val="left" w:pos="1845"/>
              </w:tabs>
              <w:spacing w:after="0" w:line="230" w:lineRule="exact"/>
              <w:ind w:firstLineChars="200" w:firstLine="36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银行初级资格证(银行从业资格证)、</w:t>
            </w:r>
            <w:r w:rsidR="00815A38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初级商业会计证（ACCA）</w:t>
            </w:r>
            <w:r w:rsidR="00815A38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</w:t>
            </w:r>
            <w:r w:rsidRPr="002409A2">
              <w:rPr>
                <w:rFonts w:ascii="黑体" w:eastAsia="黑体" w:hAnsi="宋体" w:hint="eastAsia"/>
                <w:color w:val="000000" w:themeColor="text1"/>
                <w:sz w:val="18"/>
                <w:szCs w:val="18"/>
                <w:lang w:eastAsia="zh-CN"/>
              </w:rPr>
              <w:t>基金从业资格证、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创业培训（</w:t>
            </w:r>
            <w:r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SYB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）合格证、</w:t>
            </w:r>
            <w:r w:rsidR="00815A38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证券从业资格证、电子商务师、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期货从业资格证、</w:t>
            </w:r>
            <w:r w:rsidR="00815A38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驾驶证、</w:t>
            </w:r>
            <w:r w:rsidR="00464755" w:rsidRPr="00815A38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咖啡师、调酒师、茶艺师证、营养师证</w:t>
            </w:r>
            <w:r w:rsidR="00815A38" w:rsidRPr="00815A38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加1分。</w:t>
            </w:r>
          </w:p>
          <w:p w:rsidR="00A1174C" w:rsidRPr="002409A2" w:rsidRDefault="00CC1BD0" w:rsidP="003E46B5">
            <w:pPr>
              <w:tabs>
                <w:tab w:val="left" w:pos="1845"/>
              </w:tabs>
              <w:spacing w:after="0" w:line="230" w:lineRule="exact"/>
              <w:ind w:firstLineChars="200" w:firstLine="36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初级会计师、初级审计师、报检员、报关员、</w:t>
            </w:r>
            <w:r w:rsidR="00E207A0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资产评估师、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初级统计师、高级商业会计证（ACCA）、注册管理会计师（CMA）、</w:t>
            </w:r>
            <w:r w:rsidR="006A4398" w:rsidRPr="006A4398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特许金融分析师（</w:t>
            </w:r>
            <w:r w:rsidR="00CB571B" w:rsidRPr="006A4398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CFA</w:t>
            </w:r>
            <w:r w:rsidR="006A4398" w:rsidRPr="006A4398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）</w:t>
            </w:r>
            <w:r w:rsidR="00CB571B" w:rsidRPr="00CB571B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、</w:t>
            </w:r>
            <w:r w:rsidR="006A4398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金融风险管理</w:t>
            </w:r>
            <w:r w:rsidR="00C820F9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师</w:t>
            </w:r>
            <w:r w:rsidR="006A4398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（</w:t>
            </w:r>
            <w:r w:rsidR="00CB571B" w:rsidRPr="00CB571B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FR</w:t>
            </w:r>
            <w:r w:rsidR="006A4398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M</w:t>
            </w:r>
            <w:r w:rsidR="006A4398"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  <w:t>）</w:t>
            </w:r>
            <w:r w:rsidR="00CB571B" w:rsidRPr="00CB571B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、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人力资源管理师、市场分析师、市场营销师、市场调查师、</w:t>
            </w:r>
            <w:r w:rsidR="00815A38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教师资格证、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导游证</w:t>
            </w:r>
            <w:r w:rsidR="00815A38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加2分。</w:t>
            </w:r>
          </w:p>
          <w:p w:rsidR="00CC1BD0" w:rsidRPr="002409A2" w:rsidRDefault="00CC1BD0" w:rsidP="00F66AD8">
            <w:pPr>
              <w:tabs>
                <w:tab w:val="left" w:pos="1845"/>
              </w:tabs>
              <w:spacing w:after="0" w:line="230" w:lineRule="exact"/>
              <w:ind w:firstLineChars="150" w:firstLine="27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（可以</w:t>
            </w:r>
            <w:r w:rsidRPr="00F6340D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累加</w:t>
            </w:r>
            <w:r w:rsidR="00FC534C" w:rsidRPr="00F6340D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="00E207A0" w:rsidRPr="00F6340D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大四可以提供成绩证明材料</w:t>
            </w:r>
            <w:r w:rsidR="00FC534C" w:rsidRPr="00F6340D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加分</w:t>
            </w:r>
            <w:r w:rsidRPr="00F6340D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6B21DA" w:rsidRDefault="00CC1BD0" w:rsidP="000100AC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3"/>
                <w:szCs w:val="13"/>
                <w:lang w:eastAsia="zh-CN"/>
              </w:rPr>
            </w:pPr>
          </w:p>
        </w:tc>
      </w:tr>
      <w:tr w:rsidR="00CC1BD0" w:rsidRPr="00CA7418" w:rsidTr="00181A27">
        <w:trPr>
          <w:trHeight w:val="4036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竞赛奖励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院级比赛（竞赛）：一等奖0.5分，二等奖0.3分.三等奖0.2分，优秀奖0.1分；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校级比赛（竞赛）：学科类一等奖1分，二等奖0.5分.三等奖0.3分；优秀奖0.2分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ind w:firstLineChars="850" w:firstLine="153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文体类一等奖0.5分，二等奖0.3分.三等奖0.2分；优秀奖0.1分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市级比赛（竞赛）：学科类一等奖2分，二等奖1分，三等奖0.5分；优秀奖0.3分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ind w:firstLineChars="850" w:firstLine="153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文体类一等奖1.5分，二等奖0.5分.三等奖0.3分；优秀奖0.2分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省级比赛（竞赛）：学科类一等奖3分，二等奖2分，三等奖1分，优秀奖0.5分。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ind w:firstLineChars="850" w:firstLine="153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文体类一等奖2分，二等奖1.5分.三等奖0.5分；优秀奖0.3分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国家级比赛（竞赛）：学科类一等奖5分，二等奖3分，三等奖2分；优秀奖1分。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ind w:firstLineChars="950" w:firstLine="171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文体类一等奖4分，二等奖2分.三等奖1分；优秀奖0.5分。</w:t>
            </w:r>
          </w:p>
          <w:p w:rsidR="00F66AD8" w:rsidRPr="00C13B54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70C0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其中，（1）</w:t>
            </w:r>
            <w:r w:rsidR="00AF6614" w:rsidRPr="00B73AE0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国家教育部</w:t>
            </w:r>
            <w:r w:rsidR="0030342E" w:rsidRPr="00B73AE0">
              <w:rPr>
                <w:rFonts w:ascii="黑体" w:eastAsia="黑体" w:hAnsi="宋体" w:hint="eastAsia"/>
                <w:b/>
                <w:color w:val="FF0000"/>
                <w:kern w:val="2"/>
                <w:sz w:val="18"/>
                <w:szCs w:val="18"/>
                <w:lang w:eastAsia="zh-CN"/>
              </w:rPr>
              <w:t>(团中央)</w:t>
            </w:r>
            <w:r w:rsidR="00B73AE0">
              <w:rPr>
                <w:rFonts w:ascii="黑体" w:eastAsia="黑体" w:hAnsi="宋体" w:hint="eastAsia"/>
                <w:b/>
                <w:color w:val="FF0000"/>
                <w:kern w:val="2"/>
                <w:sz w:val="18"/>
                <w:szCs w:val="18"/>
                <w:lang w:eastAsia="zh-CN"/>
              </w:rPr>
              <w:t>立项</w:t>
            </w:r>
            <w:r w:rsidR="00AF6614" w:rsidRPr="00B73AE0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比赛</w:t>
            </w:r>
            <w:r w:rsidR="00B73AE0">
              <w:rPr>
                <w:rFonts w:ascii="黑体" w:eastAsia="黑体" w:hAnsi="宋体" w:hint="eastAsia"/>
                <w:b/>
                <w:color w:val="FF0000"/>
                <w:kern w:val="2"/>
                <w:sz w:val="18"/>
                <w:szCs w:val="18"/>
                <w:lang w:eastAsia="zh-CN"/>
              </w:rPr>
              <w:t>：</w:t>
            </w:r>
            <w:r w:rsidR="00086B8E"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“</w:t>
            </w:r>
            <w:r w:rsidR="00086B8E"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互联网+</w:t>
            </w:r>
            <w:r w:rsidR="00086B8E"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”</w:t>
            </w:r>
            <w:r w:rsidR="00086B8E"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大学生创新创业大赛</w:t>
            </w:r>
            <w:r w:rsidR="00086B8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</w:t>
            </w:r>
            <w:r w:rsidR="00086B8E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全国大学生</w:t>
            </w:r>
            <w:r w:rsidR="0025059B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市场调查与分析大赛、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全国大学生电子商务</w:t>
            </w:r>
            <w:r w:rsidR="00086B8E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“创新、创意及创业”挑战赛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、</w:t>
            </w:r>
            <w:r w:rsidRPr="00F66AD8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全国大学生物流设计大赛</w:t>
            </w:r>
            <w:r w:rsidR="0025059B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等</w:t>
            </w:r>
            <w:r w:rsidR="00B73AE0" w:rsidRPr="00B73AE0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立项比赛</w:t>
            </w:r>
            <w:r w:rsidR="00B73AE0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获</w:t>
            </w:r>
            <w:r w:rsidR="00C13B54" w:rsidRPr="00C13B54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省赛</w:t>
            </w:r>
            <w:r w:rsidR="00CE3D8C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特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等</w:t>
            </w:r>
            <w:r w:rsidR="00CE3D8C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（一等）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奖10分，二等奖8分，三等奖5分；优秀奖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3分</w:t>
            </w:r>
            <w:r w:rsidR="00B73AE0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；</w:t>
            </w:r>
            <w:r w:rsidR="00C13B54" w:rsidRPr="00B73AE0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获国赛特等（一等）奖20分，二等奖16分，三等奖10分；优秀奖5分</w:t>
            </w:r>
            <w:r w:rsidR="00B73AE0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。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（2）</w:t>
            </w:r>
            <w:r w:rsidR="00AF6614" w:rsidRPr="00B73AE0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省教育厅</w:t>
            </w:r>
            <w:r w:rsidR="0030342E" w:rsidRPr="00B73AE0">
              <w:rPr>
                <w:rFonts w:ascii="黑体" w:eastAsia="黑体" w:hAnsi="宋体" w:hint="eastAsia"/>
                <w:b/>
                <w:color w:val="FF0000"/>
                <w:kern w:val="2"/>
                <w:sz w:val="18"/>
                <w:szCs w:val="18"/>
                <w:lang w:eastAsia="zh-CN"/>
              </w:rPr>
              <w:t>（团省委）</w:t>
            </w:r>
            <w:r w:rsidR="00B73AE0">
              <w:rPr>
                <w:rFonts w:ascii="黑体" w:eastAsia="黑体" w:hAnsi="宋体" w:hint="eastAsia"/>
                <w:b/>
                <w:color w:val="FF0000"/>
                <w:kern w:val="2"/>
                <w:sz w:val="18"/>
                <w:szCs w:val="18"/>
                <w:lang w:eastAsia="zh-CN"/>
              </w:rPr>
              <w:t>立项</w:t>
            </w:r>
            <w:r w:rsidR="00AF6614" w:rsidRPr="00B73AE0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比赛</w:t>
            </w:r>
            <w:r w:rsidR="00B73AE0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：</w:t>
            </w:r>
            <w:r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四川省大学生ERP沙盘模拟经营大赛、四川省大学生营销策划大赛、四川省大学生会计技能大赛、</w:t>
            </w:r>
            <w:r w:rsidR="00A27F5C" w:rsidRPr="002409A2"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  <w:t>四川省大学生</w:t>
            </w:r>
            <w:r w:rsidR="00B73AE0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财税实务技能大赛</w:t>
            </w:r>
            <w:r w:rsidR="0025059B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等</w:t>
            </w:r>
            <w:r w:rsidR="00B73AE0" w:rsidRPr="00B73AE0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立项比赛</w:t>
            </w:r>
            <w:r w:rsidR="00B73AE0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。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获</w:t>
            </w:r>
            <w:r w:rsidR="00A27F5C"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特</w:t>
            </w:r>
            <w:r w:rsidR="00A27F5C" w:rsidRPr="006D4536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等（一等）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奖5分，二等奖4分，三等奖3分；优秀奖1分。 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    备注：可以累加，但同一个项目的竞赛以最高级别</w:t>
            </w:r>
            <w:r w:rsidR="00F55403" w:rsidRPr="005D21CE">
              <w:rPr>
                <w:rFonts w:ascii="黑体" w:eastAsia="黑体" w:hAnsi="宋体" w:hint="eastAsia"/>
                <w:color w:val="FF0000"/>
                <w:kern w:val="2"/>
                <w:sz w:val="18"/>
                <w:szCs w:val="18"/>
                <w:lang w:eastAsia="zh-CN"/>
              </w:rPr>
              <w:t>（最高加分项）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为准。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D64D09" w:rsidRDefault="00CC1BD0" w:rsidP="00A27F5C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b/>
                <w:color w:val="000000" w:themeColor="text1"/>
                <w:kern w:val="2"/>
                <w:sz w:val="15"/>
                <w:szCs w:val="15"/>
                <w:lang w:eastAsia="zh-CN"/>
              </w:rPr>
            </w:pPr>
          </w:p>
        </w:tc>
      </w:tr>
      <w:tr w:rsidR="00CC1BD0" w:rsidRPr="0051495F" w:rsidTr="00181A27"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DC11A8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科研与创新能力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在国家公开刊物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(国家新闻出版总署可查)上发表学术文章，独著的学术文章一般刊物加2分，核心刊物加10分，合著第一作者按70%计分，第二作者按30%计分；出版教材和专著独著加20分，合著第一作者按70%计分，第二作者按30%计分；</w:t>
            </w:r>
            <w:r w:rsidR="006B6233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（以北大、南大核心目录为准）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创新性试验计划、创新创业项目：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ind w:firstLineChars="200" w:firstLine="36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立项：院级0.3分；校级0.5分；省级1.5分；国家级3.0分。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ind w:firstLineChars="200" w:firstLine="360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结题：院级0.5分；校级1.0分；省级3.0分；国家级5.0分。</w:t>
            </w:r>
          </w:p>
          <w:p w:rsidR="00CC1BD0" w:rsidRPr="002409A2" w:rsidRDefault="00CC1BD0" w:rsidP="00EA0026">
            <w:pPr>
              <w:tabs>
                <w:tab w:val="left" w:pos="1845"/>
              </w:tabs>
              <w:spacing w:after="0" w:line="230" w:lineRule="exact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凡大四要</w:t>
            </w:r>
            <w:r w:rsidRPr="00AA7E57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报考研究生</w:t>
            </w:r>
            <w:r w:rsidRPr="00AA7E57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的同学加0.5分,若经查询未参加研究生考试报名者,取消其评奖资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Pr="0051495F" w:rsidRDefault="00CC1BD0">
            <w:pPr>
              <w:tabs>
                <w:tab w:val="left" w:pos="1845"/>
              </w:tabs>
              <w:spacing w:after="0" w:line="240" w:lineRule="auto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D0" w:rsidRDefault="00CC1BD0" w:rsidP="001D2E7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  <w:p w:rsidR="00CC1BD0" w:rsidRDefault="00CC1BD0" w:rsidP="001D2E7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  <w:p w:rsidR="00CC1BD0" w:rsidRPr="001D2E74" w:rsidRDefault="00CC1BD0" w:rsidP="001D2E74">
            <w:pPr>
              <w:tabs>
                <w:tab w:val="left" w:pos="1845"/>
              </w:tabs>
              <w:spacing w:after="0" w:line="240" w:lineRule="auto"/>
              <w:jc w:val="center"/>
              <w:rPr>
                <w:rFonts w:ascii="黑体" w:eastAsia="黑体" w:hAnsi="宋体"/>
                <w:color w:val="FF0000"/>
                <w:kern w:val="2"/>
                <w:sz w:val="18"/>
                <w:szCs w:val="18"/>
                <w:lang w:eastAsia="zh-CN"/>
              </w:rPr>
            </w:pPr>
          </w:p>
        </w:tc>
      </w:tr>
      <w:tr w:rsidR="00CC1BD0" w:rsidRPr="001F3FAA" w:rsidTr="00181A27">
        <w:trPr>
          <w:trHeight w:val="422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ind w:left="90" w:hangingChars="50" w:hanging="90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综合素质测评总分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D0" w:rsidRPr="002409A2" w:rsidRDefault="00CC1BD0" w:rsidP="00EA0026">
            <w:pPr>
              <w:tabs>
                <w:tab w:val="left" w:pos="1845"/>
              </w:tabs>
              <w:spacing w:after="0" w:line="240" w:lineRule="exact"/>
              <w:jc w:val="center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   德育素质（     ）分</w:t>
            </w:r>
            <w:r w:rsidR="001F3FAA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+ 智育素质（      ）分</w:t>
            </w:r>
            <w:r w:rsidR="001F3FAA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+ 发展性素质（      ）分</w:t>
            </w:r>
            <w:r w:rsidR="001F3FAA"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 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24"/>
                <w:szCs w:val="24"/>
                <w:lang w:eastAsia="zh-CN"/>
              </w:rPr>
              <w:t>=</w:t>
            </w:r>
            <w:r w:rsidRPr="002409A2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>（       ）分</w:t>
            </w:r>
          </w:p>
        </w:tc>
      </w:tr>
      <w:tr w:rsidR="00CC1BD0" w:rsidRPr="0051495F" w:rsidTr="00181A27">
        <w:trPr>
          <w:trHeight w:val="40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EA0026">
            <w:pPr>
              <w:tabs>
                <w:tab w:val="left" w:pos="1845"/>
              </w:tabs>
              <w:spacing w:after="0" w:line="240" w:lineRule="exact"/>
              <w:ind w:left="90" w:hangingChars="50" w:hanging="90"/>
              <w:jc w:val="center"/>
              <w:rPr>
                <w:rFonts w:ascii="黑体" w:eastAsia="黑体" w:hAnsi="宋体"/>
                <w:b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1495F">
              <w:rPr>
                <w:rFonts w:ascii="黑体" w:eastAsia="黑体" w:hAnsi="宋体" w:hint="eastAsia"/>
                <w:b/>
                <w:color w:val="000000" w:themeColor="text1"/>
                <w:kern w:val="2"/>
                <w:sz w:val="18"/>
                <w:szCs w:val="18"/>
                <w:lang w:eastAsia="zh-CN"/>
              </w:rPr>
              <w:t>班级审核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BD0" w:rsidRPr="0051495F" w:rsidRDefault="00CC1BD0" w:rsidP="00EA0026">
            <w:pPr>
              <w:tabs>
                <w:tab w:val="left" w:pos="1845"/>
              </w:tabs>
              <w:spacing w:after="0" w:line="240" w:lineRule="exact"/>
              <w:ind w:firstLineChars="196" w:firstLine="353"/>
              <w:rPr>
                <w:rFonts w:ascii="黑体" w:eastAsia="黑体" w:hAnsi="宋体"/>
                <w:color w:val="000000" w:themeColor="text1"/>
                <w:kern w:val="2"/>
                <w:sz w:val="18"/>
                <w:szCs w:val="18"/>
                <w:lang w:eastAsia="zh-CN"/>
              </w:rPr>
            </w:pPr>
            <w:r w:rsidRPr="0051495F">
              <w:rPr>
                <w:rFonts w:ascii="黑体" w:eastAsia="黑体" w:hAnsi="宋体" w:hint="eastAsia"/>
                <w:color w:val="000000" w:themeColor="text1"/>
                <w:kern w:val="2"/>
                <w:sz w:val="18"/>
                <w:szCs w:val="18"/>
                <w:lang w:eastAsia="zh-CN"/>
              </w:rPr>
              <w:t xml:space="preserve">团支书审核签字：                          班主任审核签字：               </w:t>
            </w:r>
          </w:p>
        </w:tc>
      </w:tr>
    </w:tbl>
    <w:p w:rsidR="007B595E" w:rsidRDefault="007B595E" w:rsidP="00C91BCB">
      <w:pPr>
        <w:tabs>
          <w:tab w:val="left" w:pos="1845"/>
          <w:tab w:val="right" w:pos="8306"/>
        </w:tabs>
        <w:spacing w:after="0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</w:p>
    <w:p w:rsidR="00C91BCB" w:rsidRPr="0051495F" w:rsidRDefault="00C91BCB" w:rsidP="00C91BCB">
      <w:pPr>
        <w:tabs>
          <w:tab w:val="left" w:pos="1845"/>
          <w:tab w:val="right" w:pos="8306"/>
        </w:tabs>
        <w:spacing w:after="0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lastRenderedPageBreak/>
        <w:t>注意事项：</w:t>
      </w:r>
    </w:p>
    <w:p w:rsidR="00C91BCB" w:rsidRPr="0051495F" w:rsidRDefault="00DE3E04" w:rsidP="008A79E0">
      <w:pPr>
        <w:spacing w:after="0" w:line="240" w:lineRule="auto"/>
        <w:ind w:firstLineChars="300" w:firstLine="542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1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、</w:t>
      </w:r>
      <w:r w:rsidR="0097489A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素质拓展总分达到4分及以上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才有资格参加</w:t>
      </w:r>
      <w:r w:rsidR="00CC137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各级各类</w:t>
      </w:r>
      <w:r w:rsidR="002F4DBD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奖学金</w:t>
      </w:r>
      <w:r w:rsidR="00CC137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的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评选；</w:t>
      </w:r>
    </w:p>
    <w:p w:rsidR="00C91BCB" w:rsidRPr="0051495F" w:rsidRDefault="00DE3E04" w:rsidP="00C91BCB">
      <w:pPr>
        <w:tabs>
          <w:tab w:val="left" w:pos="645"/>
        </w:tabs>
        <w:spacing w:after="0" w:line="240" w:lineRule="auto"/>
        <w:ind w:firstLineChars="300" w:firstLine="542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2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、以上所有项目的认定时间范围必须是</w:t>
      </w:r>
      <w:r w:rsidR="0009089F" w:rsidRPr="0009089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参评学年度（</w:t>
      </w:r>
      <w:r w:rsidR="00C91BCB" w:rsidRPr="0009089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201</w:t>
      </w:r>
      <w:r w:rsidR="00AA67E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9</w:t>
      </w:r>
      <w:r w:rsidR="00C91BCB" w:rsidRPr="0009089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年9月1日—20</w:t>
      </w:r>
      <w:r w:rsidR="00AA67E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20</w:t>
      </w:r>
      <w:r w:rsidR="00C91BCB" w:rsidRPr="0009089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年8月31日</w:t>
      </w:r>
      <w:r w:rsidR="0009089F" w:rsidRPr="0009089F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）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期间发生的；</w:t>
      </w:r>
      <w:bookmarkStart w:id="1" w:name="_GoBack"/>
      <w:bookmarkEnd w:id="1"/>
    </w:p>
    <w:p w:rsidR="00C91BCB" w:rsidRPr="0051495F" w:rsidRDefault="00DE3E04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3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、学年</w:t>
      </w:r>
      <w:r w:rsidR="0009089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学习</w:t>
      </w:r>
      <w:r w:rsidR="003C7675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加权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平均成绩中不包含</w:t>
      </w:r>
      <w:r w:rsidR="00A220C7" w:rsidRPr="00A220C7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全校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任意选修课成绩；</w:t>
      </w:r>
    </w:p>
    <w:p w:rsidR="00C91BCB" w:rsidRDefault="00DE3E04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4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、其它课程的换算方法：优：95，良：85，中：75，合格：60，补考合格：60；</w:t>
      </w:r>
    </w:p>
    <w:p w:rsidR="00931F05" w:rsidRPr="00931F05" w:rsidRDefault="00931F05" w:rsidP="00AA6346">
      <w:pPr>
        <w:spacing w:after="0" w:line="240" w:lineRule="auto"/>
        <w:ind w:firstLineChars="300" w:firstLine="542"/>
        <w:jc w:val="both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AA6346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5、</w:t>
      </w:r>
      <w:r w:rsidRPr="000145BC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按要</w:t>
      </w:r>
      <w:r w:rsidRPr="000145BC">
        <w:rPr>
          <w:rFonts w:asciiTheme="minorEastAsia" w:eastAsiaTheme="minorEastAsia" w:hAnsiTheme="minorEastAsia" w:hint="eastAsia"/>
          <w:b/>
          <w:color w:val="FF0000"/>
          <w:sz w:val="18"/>
          <w:szCs w:val="18"/>
          <w:lang w:eastAsia="zh-CN"/>
        </w:rPr>
        <w:t>求</w:t>
      </w:r>
      <w:r w:rsidRPr="000145BC">
        <w:rPr>
          <w:rFonts w:ascii="黑体" w:eastAsia="黑体" w:hAnsi="宋体" w:hint="eastAsia"/>
          <w:b/>
          <w:color w:val="FF0000"/>
          <w:sz w:val="18"/>
          <w:szCs w:val="18"/>
          <w:lang w:eastAsia="zh-CN"/>
        </w:rPr>
        <w:t>在学院规定时间内完成素质分的“在线申请”。“在线申请”网址</w:t>
      </w:r>
      <w:r>
        <w:rPr>
          <w:rFonts w:ascii="黑体" w:eastAsia="黑体" w:hAnsi="宋体" w:hint="eastAsia"/>
          <w:b/>
          <w:sz w:val="18"/>
          <w:szCs w:val="18"/>
          <w:lang w:eastAsia="zh-CN"/>
        </w:rPr>
        <w:t>：</w:t>
      </w:r>
      <w:hyperlink r:id="rId7" w:history="1">
        <w:r w:rsidRPr="00A734BD">
          <w:rPr>
            <w:rStyle w:val="a7"/>
            <w:rFonts w:ascii="黑体" w:eastAsia="黑体" w:hAnsi="宋体"/>
            <w:b/>
            <w:sz w:val="18"/>
            <w:szCs w:val="18"/>
            <w:lang w:eastAsia="zh-CN"/>
          </w:rPr>
          <w:t>https://xsswzx.cdu.edu.cn:81/cp/</w:t>
        </w:r>
      </w:hyperlink>
      <w:r>
        <w:rPr>
          <w:rFonts w:ascii="黑体" w:eastAsia="黑体" w:hAnsi="宋体" w:hint="eastAsia"/>
          <w:b/>
          <w:sz w:val="18"/>
          <w:szCs w:val="18"/>
          <w:lang w:eastAsia="zh-CN"/>
        </w:rPr>
        <w:t xml:space="preserve"> 。</w:t>
      </w:r>
    </w:p>
    <w:p w:rsidR="00C91BCB" w:rsidRDefault="00DE3E04" w:rsidP="00C91BCB">
      <w:pPr>
        <w:spacing w:after="0" w:line="240" w:lineRule="auto"/>
        <w:ind w:firstLineChars="300" w:firstLine="542"/>
        <w:rPr>
          <w:rFonts w:ascii="黑体" w:eastAsia="黑体" w:hAnsi="宋体"/>
          <w:b/>
          <w:color w:val="000000" w:themeColor="text1"/>
          <w:sz w:val="18"/>
          <w:szCs w:val="18"/>
          <w:lang w:eastAsia="zh-CN"/>
        </w:rPr>
      </w:pPr>
      <w:r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6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、</w:t>
      </w:r>
      <w:r w:rsidR="008A79E0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社团</w:t>
      </w:r>
      <w:r w:rsidR="00C91BCB" w:rsidRPr="0051495F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相关一切证明及获奖均不能加分。</w:t>
      </w:r>
    </w:p>
    <w:p w:rsidR="007C0C73" w:rsidRDefault="00DE6919" w:rsidP="007C0C73">
      <w:pPr>
        <w:spacing w:after="0" w:line="240" w:lineRule="auto"/>
        <w:ind w:firstLineChars="300" w:firstLine="542"/>
        <w:jc w:val="both"/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</w:pPr>
      <w:r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7、</w:t>
      </w:r>
      <w:r w:rsidR="00346521" w:rsidRPr="006D4536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个人</w:t>
      </w:r>
      <w:r w:rsidR="00301311" w:rsidRPr="006D4536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或集体</w:t>
      </w:r>
      <w:r w:rsidR="00346521" w:rsidRPr="006D4536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荣誉</w:t>
      </w:r>
      <w:r w:rsidR="00DA610D" w:rsidRPr="006D4536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级别认定</w:t>
      </w:r>
      <w:r w:rsidR="00891469" w:rsidRPr="006D4536">
        <w:rPr>
          <w:rFonts w:ascii="黑体" w:eastAsia="黑体" w:hAnsi="宋体" w:hint="eastAsia"/>
          <w:b/>
          <w:color w:val="000000" w:themeColor="text1"/>
          <w:sz w:val="18"/>
          <w:szCs w:val="18"/>
          <w:lang w:eastAsia="zh-CN"/>
        </w:rPr>
        <w:t>：</w:t>
      </w:r>
      <w:r w:rsidR="006C4472" w:rsidRPr="006D4536">
        <w:rPr>
          <w:rFonts w:ascii="宋体" w:hAnsi="宋体" w:cs="宋体"/>
          <w:color w:val="000000" w:themeColor="text1"/>
          <w:sz w:val="24"/>
          <w:szCs w:val="24"/>
          <w:lang w:eastAsia="zh-CN" w:bidi="ar-SA"/>
        </w:rPr>
        <w:br/>
      </w:r>
      <w:r w:rsidR="006C4472" w:rsidRPr="00481A40">
        <w:rPr>
          <w:rFonts w:ascii="宋体" w:hAnsi="宋体" w:cs="宋体"/>
          <w:color w:val="000000" w:themeColor="text1"/>
          <w:sz w:val="24"/>
          <w:szCs w:val="24"/>
          <w:lang w:eastAsia="zh-CN" w:bidi="ar-SA"/>
        </w:rPr>
        <w:t>  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区、市、县级及以上荣誉是指区、市、县级及以上</w:t>
      </w:r>
      <w:r w:rsidR="006C4472" w:rsidRPr="00AA7E57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人民政府、教育主管部门、党委组织部、共青团等组织的表彰奖励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。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br/>
        <w:t>  </w:t>
      </w:r>
      <w:r w:rsidR="001F6CD8" w:rsidRPr="00481A40">
        <w:rPr>
          <w:rFonts w:asciiTheme="minorEastAsia" w:eastAsiaTheme="minorEastAsia" w:hAnsiTheme="minorEastAsia" w:hint="eastAsia"/>
          <w:b/>
          <w:color w:val="FF0000"/>
          <w:sz w:val="18"/>
          <w:szCs w:val="18"/>
          <w:lang w:eastAsia="zh-CN"/>
        </w:rPr>
        <w:t xml:space="preserve"> </w:t>
      </w:r>
      <w:r w:rsidR="006C4472" w:rsidRPr="00481A40">
        <w:rPr>
          <w:rFonts w:asciiTheme="minorEastAsia" w:eastAsiaTheme="minorEastAsia" w:hAnsiTheme="minorEastAsia"/>
          <w:b/>
          <w:color w:val="FF0000"/>
          <w:sz w:val="18"/>
          <w:szCs w:val="18"/>
          <w:lang w:eastAsia="zh-CN"/>
        </w:rPr>
        <w:t>校级表彰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奖励划分为两档：第一档为学校党委或行政名义开展的表彰奖励、校团委开展的五四表彰、“雄辩杯”辩论赛、“科创杯”、“开拓杯”活动奖项；第二档为学校职能部门（如党委组织部、党委宣传部、党委学生工作部、党委武装部、</w:t>
      </w:r>
      <w:r w:rsidR="00C2287E" w:rsidRPr="00481A40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  <w:lang w:eastAsia="zh-CN"/>
        </w:rPr>
        <w:t>校团委、</w:t>
      </w:r>
      <w:r w:rsidR="001F6CD8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心理健康教育中心</w:t>
      </w:r>
      <w:r w:rsidR="001F6CD8" w:rsidRPr="00481A40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  <w:lang w:eastAsia="zh-CN"/>
        </w:rPr>
        <w:t>、</w:t>
      </w:r>
      <w:r w:rsidR="00C2287E" w:rsidRPr="00481A40">
        <w:rPr>
          <w:rFonts w:asciiTheme="minorEastAsia" w:eastAsiaTheme="minorEastAsia" w:hAnsiTheme="minorEastAsia" w:hint="eastAsia"/>
          <w:b/>
          <w:color w:val="000000" w:themeColor="text1"/>
          <w:sz w:val="18"/>
          <w:szCs w:val="18"/>
          <w:lang w:eastAsia="zh-CN"/>
        </w:rPr>
        <w:t>校体委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）名义开展的表彰奖励。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br/>
        <w:t>  </w:t>
      </w:r>
      <w:r w:rsidR="006C4472" w:rsidRPr="00481A40">
        <w:rPr>
          <w:rFonts w:asciiTheme="minorEastAsia" w:eastAsiaTheme="minorEastAsia" w:hAnsiTheme="minorEastAsia"/>
          <w:b/>
          <w:color w:val="FF0000"/>
          <w:sz w:val="18"/>
          <w:szCs w:val="18"/>
          <w:lang w:eastAsia="zh-CN"/>
        </w:rPr>
        <w:t>院级</w:t>
      </w:r>
      <w:r w:rsidR="006C4472" w:rsidRPr="00481A40">
        <w:rPr>
          <w:rFonts w:asciiTheme="minorEastAsia" w:eastAsiaTheme="minorEastAsia" w:hAnsiTheme="minorEastAsia"/>
          <w:b/>
          <w:color w:val="000000" w:themeColor="text1"/>
          <w:sz w:val="18"/>
          <w:szCs w:val="18"/>
          <w:lang w:eastAsia="zh-CN"/>
        </w:rPr>
        <w:t>就是除校级两档外的各学院、部门开展的表彰奖励。</w:t>
      </w:r>
    </w:p>
    <w:p w:rsidR="006C4472" w:rsidRPr="002D4D4F" w:rsidRDefault="006C4472" w:rsidP="001B44CB">
      <w:pPr>
        <w:spacing w:after="0" w:line="240" w:lineRule="auto"/>
        <w:ind w:firstLineChars="300" w:firstLine="542"/>
        <w:rPr>
          <w:rFonts w:ascii="黑体" w:eastAsia="黑体" w:hAnsi="宋体"/>
          <w:b/>
          <w:color w:val="FF0000"/>
          <w:sz w:val="18"/>
          <w:szCs w:val="18"/>
          <w:lang w:eastAsia="zh-CN"/>
        </w:rPr>
      </w:pPr>
    </w:p>
    <w:sectPr w:rsidR="006C4472" w:rsidRPr="002D4D4F" w:rsidSect="006F310D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71" w:rsidRDefault="008B6671" w:rsidP="00C91BCB">
      <w:pPr>
        <w:spacing w:after="0" w:line="240" w:lineRule="auto"/>
      </w:pPr>
      <w:r>
        <w:separator/>
      </w:r>
    </w:p>
  </w:endnote>
  <w:endnote w:type="continuationSeparator" w:id="1">
    <w:p w:rsidR="008B6671" w:rsidRDefault="008B6671" w:rsidP="00C9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71" w:rsidRDefault="008B6671" w:rsidP="00C91BCB">
      <w:pPr>
        <w:spacing w:after="0" w:line="240" w:lineRule="auto"/>
      </w:pPr>
      <w:r>
        <w:separator/>
      </w:r>
    </w:p>
  </w:footnote>
  <w:footnote w:type="continuationSeparator" w:id="1">
    <w:p w:rsidR="008B6671" w:rsidRDefault="008B6671" w:rsidP="00C91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4705B"/>
    <w:multiLevelType w:val="hybridMultilevel"/>
    <w:tmpl w:val="934A08F6"/>
    <w:lvl w:ilvl="0" w:tplc="6F102270">
      <w:start w:val="1"/>
      <w:numFmt w:val="decimal"/>
      <w:lvlText w:val="%1、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BCB"/>
    <w:rsid w:val="000006BA"/>
    <w:rsid w:val="00001EC1"/>
    <w:rsid w:val="00002724"/>
    <w:rsid w:val="00005A91"/>
    <w:rsid w:val="00007225"/>
    <w:rsid w:val="000100AC"/>
    <w:rsid w:val="000145BC"/>
    <w:rsid w:val="00025F50"/>
    <w:rsid w:val="000279C8"/>
    <w:rsid w:val="00031D1B"/>
    <w:rsid w:val="0003287E"/>
    <w:rsid w:val="00033B41"/>
    <w:rsid w:val="000350E3"/>
    <w:rsid w:val="00035CCF"/>
    <w:rsid w:val="000636F2"/>
    <w:rsid w:val="00076EA1"/>
    <w:rsid w:val="00077B87"/>
    <w:rsid w:val="00084F8E"/>
    <w:rsid w:val="00086B8E"/>
    <w:rsid w:val="0009089F"/>
    <w:rsid w:val="0009148D"/>
    <w:rsid w:val="0009685B"/>
    <w:rsid w:val="000A156E"/>
    <w:rsid w:val="000B3B1B"/>
    <w:rsid w:val="000D085D"/>
    <w:rsid w:val="000D27E2"/>
    <w:rsid w:val="000D322D"/>
    <w:rsid w:val="000F73D3"/>
    <w:rsid w:val="001013B3"/>
    <w:rsid w:val="001129F1"/>
    <w:rsid w:val="00132F40"/>
    <w:rsid w:val="00134290"/>
    <w:rsid w:val="00143767"/>
    <w:rsid w:val="00166DDE"/>
    <w:rsid w:val="0016763E"/>
    <w:rsid w:val="00167BC3"/>
    <w:rsid w:val="001772BF"/>
    <w:rsid w:val="001818F6"/>
    <w:rsid w:val="00181A27"/>
    <w:rsid w:val="0019144A"/>
    <w:rsid w:val="00193243"/>
    <w:rsid w:val="001A11E4"/>
    <w:rsid w:val="001A48BA"/>
    <w:rsid w:val="001B44CB"/>
    <w:rsid w:val="001B67DD"/>
    <w:rsid w:val="001C3729"/>
    <w:rsid w:val="001C614D"/>
    <w:rsid w:val="001D2E74"/>
    <w:rsid w:val="001D5939"/>
    <w:rsid w:val="001E1B33"/>
    <w:rsid w:val="001F3FAA"/>
    <w:rsid w:val="001F6CD8"/>
    <w:rsid w:val="002153CC"/>
    <w:rsid w:val="002172CF"/>
    <w:rsid w:val="002409A2"/>
    <w:rsid w:val="002418F3"/>
    <w:rsid w:val="00243403"/>
    <w:rsid w:val="0025059B"/>
    <w:rsid w:val="0025127D"/>
    <w:rsid w:val="00254A7D"/>
    <w:rsid w:val="002569E5"/>
    <w:rsid w:val="0026003A"/>
    <w:rsid w:val="002604A2"/>
    <w:rsid w:val="002723BF"/>
    <w:rsid w:val="0028019D"/>
    <w:rsid w:val="00281306"/>
    <w:rsid w:val="00284522"/>
    <w:rsid w:val="00284C74"/>
    <w:rsid w:val="0029169B"/>
    <w:rsid w:val="00296A35"/>
    <w:rsid w:val="002A2FB7"/>
    <w:rsid w:val="002A303B"/>
    <w:rsid w:val="002A792E"/>
    <w:rsid w:val="002B17D7"/>
    <w:rsid w:val="002B7162"/>
    <w:rsid w:val="002C19F3"/>
    <w:rsid w:val="002C67DC"/>
    <w:rsid w:val="002D0F72"/>
    <w:rsid w:val="002D4D4F"/>
    <w:rsid w:val="002E75A5"/>
    <w:rsid w:val="002F4DBD"/>
    <w:rsid w:val="002F4F1B"/>
    <w:rsid w:val="002F57A9"/>
    <w:rsid w:val="00301311"/>
    <w:rsid w:val="0030342E"/>
    <w:rsid w:val="003212D5"/>
    <w:rsid w:val="00323560"/>
    <w:rsid w:val="003237D6"/>
    <w:rsid w:val="0033235C"/>
    <w:rsid w:val="003444C0"/>
    <w:rsid w:val="00346521"/>
    <w:rsid w:val="0035122E"/>
    <w:rsid w:val="00356DC2"/>
    <w:rsid w:val="00380F52"/>
    <w:rsid w:val="00392F7F"/>
    <w:rsid w:val="00396C3B"/>
    <w:rsid w:val="00396D58"/>
    <w:rsid w:val="003A2F1A"/>
    <w:rsid w:val="003B74FD"/>
    <w:rsid w:val="003C06B3"/>
    <w:rsid w:val="003C2073"/>
    <w:rsid w:val="003C7675"/>
    <w:rsid w:val="003D11BC"/>
    <w:rsid w:val="003D3EA8"/>
    <w:rsid w:val="003D62D4"/>
    <w:rsid w:val="003E46B5"/>
    <w:rsid w:val="003E6065"/>
    <w:rsid w:val="003E7785"/>
    <w:rsid w:val="003F12AB"/>
    <w:rsid w:val="003F511E"/>
    <w:rsid w:val="00407342"/>
    <w:rsid w:val="004119AD"/>
    <w:rsid w:val="00415D1D"/>
    <w:rsid w:val="00422F0C"/>
    <w:rsid w:val="0043659E"/>
    <w:rsid w:val="00437ACD"/>
    <w:rsid w:val="00461FD4"/>
    <w:rsid w:val="00464755"/>
    <w:rsid w:val="00481A40"/>
    <w:rsid w:val="004B6AFC"/>
    <w:rsid w:val="004D35B4"/>
    <w:rsid w:val="004D4117"/>
    <w:rsid w:val="00500374"/>
    <w:rsid w:val="00507638"/>
    <w:rsid w:val="0051495F"/>
    <w:rsid w:val="0055012B"/>
    <w:rsid w:val="005531F1"/>
    <w:rsid w:val="00556F6D"/>
    <w:rsid w:val="00563115"/>
    <w:rsid w:val="005647A4"/>
    <w:rsid w:val="005828D7"/>
    <w:rsid w:val="0059067D"/>
    <w:rsid w:val="005A0794"/>
    <w:rsid w:val="005A3D34"/>
    <w:rsid w:val="005B69F3"/>
    <w:rsid w:val="005C473C"/>
    <w:rsid w:val="005C61DD"/>
    <w:rsid w:val="005D20B4"/>
    <w:rsid w:val="005D21CE"/>
    <w:rsid w:val="005D3BBE"/>
    <w:rsid w:val="005F0705"/>
    <w:rsid w:val="00606553"/>
    <w:rsid w:val="006069D6"/>
    <w:rsid w:val="00610965"/>
    <w:rsid w:val="0061132A"/>
    <w:rsid w:val="0061180A"/>
    <w:rsid w:val="00617953"/>
    <w:rsid w:val="00635010"/>
    <w:rsid w:val="00641E53"/>
    <w:rsid w:val="006467BF"/>
    <w:rsid w:val="006564EF"/>
    <w:rsid w:val="00663CC6"/>
    <w:rsid w:val="0066731F"/>
    <w:rsid w:val="006777B2"/>
    <w:rsid w:val="00682617"/>
    <w:rsid w:val="00693916"/>
    <w:rsid w:val="006A4398"/>
    <w:rsid w:val="006A4B6F"/>
    <w:rsid w:val="006A4DC6"/>
    <w:rsid w:val="006B1328"/>
    <w:rsid w:val="006B21DA"/>
    <w:rsid w:val="006B6233"/>
    <w:rsid w:val="006B7540"/>
    <w:rsid w:val="006C0793"/>
    <w:rsid w:val="006C4472"/>
    <w:rsid w:val="006C786D"/>
    <w:rsid w:val="006D04FD"/>
    <w:rsid w:val="006D1170"/>
    <w:rsid w:val="006D1B75"/>
    <w:rsid w:val="006D4536"/>
    <w:rsid w:val="006E2391"/>
    <w:rsid w:val="006E628F"/>
    <w:rsid w:val="006F310D"/>
    <w:rsid w:val="007041FF"/>
    <w:rsid w:val="00704E4A"/>
    <w:rsid w:val="00710DC3"/>
    <w:rsid w:val="00713A73"/>
    <w:rsid w:val="00721095"/>
    <w:rsid w:val="0072435F"/>
    <w:rsid w:val="007245ED"/>
    <w:rsid w:val="00737D04"/>
    <w:rsid w:val="007541EE"/>
    <w:rsid w:val="00754402"/>
    <w:rsid w:val="00764839"/>
    <w:rsid w:val="00771674"/>
    <w:rsid w:val="007860A4"/>
    <w:rsid w:val="007B0DD0"/>
    <w:rsid w:val="007B595E"/>
    <w:rsid w:val="007C0C73"/>
    <w:rsid w:val="007C0C8E"/>
    <w:rsid w:val="007C262E"/>
    <w:rsid w:val="007C2CD8"/>
    <w:rsid w:val="007C42ED"/>
    <w:rsid w:val="007C5ED0"/>
    <w:rsid w:val="007D648C"/>
    <w:rsid w:val="007F5560"/>
    <w:rsid w:val="007F786B"/>
    <w:rsid w:val="00805585"/>
    <w:rsid w:val="00815A38"/>
    <w:rsid w:val="0082735F"/>
    <w:rsid w:val="00830D0D"/>
    <w:rsid w:val="00832B4A"/>
    <w:rsid w:val="00833510"/>
    <w:rsid w:val="00840F7A"/>
    <w:rsid w:val="00845B48"/>
    <w:rsid w:val="00851231"/>
    <w:rsid w:val="00860227"/>
    <w:rsid w:val="008612CD"/>
    <w:rsid w:val="008633FA"/>
    <w:rsid w:val="0086717A"/>
    <w:rsid w:val="00872E11"/>
    <w:rsid w:val="00872FB0"/>
    <w:rsid w:val="0088570B"/>
    <w:rsid w:val="00887BFB"/>
    <w:rsid w:val="00891469"/>
    <w:rsid w:val="008922B2"/>
    <w:rsid w:val="008954BB"/>
    <w:rsid w:val="008A49B1"/>
    <w:rsid w:val="008A6284"/>
    <w:rsid w:val="008A79E0"/>
    <w:rsid w:val="008B6671"/>
    <w:rsid w:val="008D27DD"/>
    <w:rsid w:val="008D4654"/>
    <w:rsid w:val="008D4B4E"/>
    <w:rsid w:val="008E507A"/>
    <w:rsid w:val="008E6FB7"/>
    <w:rsid w:val="008F4F9E"/>
    <w:rsid w:val="00902008"/>
    <w:rsid w:val="00914D25"/>
    <w:rsid w:val="00916BD5"/>
    <w:rsid w:val="0092364D"/>
    <w:rsid w:val="00924D1A"/>
    <w:rsid w:val="00925922"/>
    <w:rsid w:val="009304EB"/>
    <w:rsid w:val="00931F05"/>
    <w:rsid w:val="00932DE0"/>
    <w:rsid w:val="0093672A"/>
    <w:rsid w:val="0094205E"/>
    <w:rsid w:val="00944616"/>
    <w:rsid w:val="00946BD5"/>
    <w:rsid w:val="00946D02"/>
    <w:rsid w:val="00952F8E"/>
    <w:rsid w:val="0095536C"/>
    <w:rsid w:val="00971368"/>
    <w:rsid w:val="00971EF1"/>
    <w:rsid w:val="00973000"/>
    <w:rsid w:val="0097489A"/>
    <w:rsid w:val="00980675"/>
    <w:rsid w:val="009834C3"/>
    <w:rsid w:val="00983918"/>
    <w:rsid w:val="00983BB0"/>
    <w:rsid w:val="00986ECD"/>
    <w:rsid w:val="009A3B00"/>
    <w:rsid w:val="009A4AE9"/>
    <w:rsid w:val="009B0409"/>
    <w:rsid w:val="009B6568"/>
    <w:rsid w:val="009D2147"/>
    <w:rsid w:val="009D3733"/>
    <w:rsid w:val="009D49AC"/>
    <w:rsid w:val="009E1A67"/>
    <w:rsid w:val="009E4738"/>
    <w:rsid w:val="009E5598"/>
    <w:rsid w:val="009F1754"/>
    <w:rsid w:val="009F6BC9"/>
    <w:rsid w:val="009F712A"/>
    <w:rsid w:val="00A036FA"/>
    <w:rsid w:val="00A0502A"/>
    <w:rsid w:val="00A1174C"/>
    <w:rsid w:val="00A127F0"/>
    <w:rsid w:val="00A1299A"/>
    <w:rsid w:val="00A141CC"/>
    <w:rsid w:val="00A220C7"/>
    <w:rsid w:val="00A27F5C"/>
    <w:rsid w:val="00A51BBE"/>
    <w:rsid w:val="00A57AEC"/>
    <w:rsid w:val="00A629F4"/>
    <w:rsid w:val="00A6379F"/>
    <w:rsid w:val="00A639E6"/>
    <w:rsid w:val="00A75F8A"/>
    <w:rsid w:val="00AA2BC3"/>
    <w:rsid w:val="00AA451D"/>
    <w:rsid w:val="00AA6346"/>
    <w:rsid w:val="00AA65C7"/>
    <w:rsid w:val="00AA67EF"/>
    <w:rsid w:val="00AA7596"/>
    <w:rsid w:val="00AA7E57"/>
    <w:rsid w:val="00AB2F22"/>
    <w:rsid w:val="00AC03BB"/>
    <w:rsid w:val="00AC1023"/>
    <w:rsid w:val="00AD2909"/>
    <w:rsid w:val="00AD7A38"/>
    <w:rsid w:val="00AE03B4"/>
    <w:rsid w:val="00AE0537"/>
    <w:rsid w:val="00AF6614"/>
    <w:rsid w:val="00B0429D"/>
    <w:rsid w:val="00B04656"/>
    <w:rsid w:val="00B0583F"/>
    <w:rsid w:val="00B058FE"/>
    <w:rsid w:val="00B10D73"/>
    <w:rsid w:val="00B20224"/>
    <w:rsid w:val="00B21EE9"/>
    <w:rsid w:val="00B31C05"/>
    <w:rsid w:val="00B47F1A"/>
    <w:rsid w:val="00B630C4"/>
    <w:rsid w:val="00B65584"/>
    <w:rsid w:val="00B73AE0"/>
    <w:rsid w:val="00B7792C"/>
    <w:rsid w:val="00B80D89"/>
    <w:rsid w:val="00B92D06"/>
    <w:rsid w:val="00B93819"/>
    <w:rsid w:val="00B9456E"/>
    <w:rsid w:val="00BA354A"/>
    <w:rsid w:val="00BA6D34"/>
    <w:rsid w:val="00BB1D28"/>
    <w:rsid w:val="00BC1D9E"/>
    <w:rsid w:val="00BC2C55"/>
    <w:rsid w:val="00BC724D"/>
    <w:rsid w:val="00BD7501"/>
    <w:rsid w:val="00BE726A"/>
    <w:rsid w:val="00BF5044"/>
    <w:rsid w:val="00C0725C"/>
    <w:rsid w:val="00C13B54"/>
    <w:rsid w:val="00C2287E"/>
    <w:rsid w:val="00C24FAB"/>
    <w:rsid w:val="00C330AE"/>
    <w:rsid w:val="00C36DD2"/>
    <w:rsid w:val="00C41FDA"/>
    <w:rsid w:val="00C42D62"/>
    <w:rsid w:val="00C63E83"/>
    <w:rsid w:val="00C820F9"/>
    <w:rsid w:val="00C87C96"/>
    <w:rsid w:val="00C900D4"/>
    <w:rsid w:val="00C91BCB"/>
    <w:rsid w:val="00C95C1A"/>
    <w:rsid w:val="00CA7418"/>
    <w:rsid w:val="00CB14BF"/>
    <w:rsid w:val="00CB571B"/>
    <w:rsid w:val="00CB5CD2"/>
    <w:rsid w:val="00CC137B"/>
    <w:rsid w:val="00CC1BD0"/>
    <w:rsid w:val="00CE35D2"/>
    <w:rsid w:val="00CE3D8C"/>
    <w:rsid w:val="00D03760"/>
    <w:rsid w:val="00D21239"/>
    <w:rsid w:val="00D217B5"/>
    <w:rsid w:val="00D220C0"/>
    <w:rsid w:val="00D2505D"/>
    <w:rsid w:val="00D34C5F"/>
    <w:rsid w:val="00D35D07"/>
    <w:rsid w:val="00D41C32"/>
    <w:rsid w:val="00D44E42"/>
    <w:rsid w:val="00D54FCE"/>
    <w:rsid w:val="00D64D09"/>
    <w:rsid w:val="00D77ED7"/>
    <w:rsid w:val="00D80D5C"/>
    <w:rsid w:val="00D81934"/>
    <w:rsid w:val="00D83622"/>
    <w:rsid w:val="00D9321B"/>
    <w:rsid w:val="00DA610D"/>
    <w:rsid w:val="00DB5B6C"/>
    <w:rsid w:val="00DC11A8"/>
    <w:rsid w:val="00DC18ED"/>
    <w:rsid w:val="00DC19DE"/>
    <w:rsid w:val="00DC71DE"/>
    <w:rsid w:val="00DE3E04"/>
    <w:rsid w:val="00DE4FA1"/>
    <w:rsid w:val="00DE577E"/>
    <w:rsid w:val="00DE6919"/>
    <w:rsid w:val="00DF2DEA"/>
    <w:rsid w:val="00DF7D90"/>
    <w:rsid w:val="00E02CC2"/>
    <w:rsid w:val="00E17A4C"/>
    <w:rsid w:val="00E207A0"/>
    <w:rsid w:val="00E2245F"/>
    <w:rsid w:val="00E32BFD"/>
    <w:rsid w:val="00E666FD"/>
    <w:rsid w:val="00E72A46"/>
    <w:rsid w:val="00E761F9"/>
    <w:rsid w:val="00E80A8E"/>
    <w:rsid w:val="00E92B55"/>
    <w:rsid w:val="00E941D5"/>
    <w:rsid w:val="00E9701D"/>
    <w:rsid w:val="00EA0026"/>
    <w:rsid w:val="00EA26AE"/>
    <w:rsid w:val="00EA4133"/>
    <w:rsid w:val="00EB3DE7"/>
    <w:rsid w:val="00EC622B"/>
    <w:rsid w:val="00EF23B0"/>
    <w:rsid w:val="00F04E21"/>
    <w:rsid w:val="00F11D52"/>
    <w:rsid w:val="00F169F1"/>
    <w:rsid w:val="00F22B72"/>
    <w:rsid w:val="00F245D7"/>
    <w:rsid w:val="00F32C40"/>
    <w:rsid w:val="00F4186E"/>
    <w:rsid w:val="00F42453"/>
    <w:rsid w:val="00F45B9F"/>
    <w:rsid w:val="00F47850"/>
    <w:rsid w:val="00F55403"/>
    <w:rsid w:val="00F55C8A"/>
    <w:rsid w:val="00F61FFF"/>
    <w:rsid w:val="00F631ED"/>
    <w:rsid w:val="00F6340D"/>
    <w:rsid w:val="00F66AD8"/>
    <w:rsid w:val="00F71EF6"/>
    <w:rsid w:val="00F756EA"/>
    <w:rsid w:val="00F77CAA"/>
    <w:rsid w:val="00F81E94"/>
    <w:rsid w:val="00F85A03"/>
    <w:rsid w:val="00F948DD"/>
    <w:rsid w:val="00F97AC5"/>
    <w:rsid w:val="00FA424A"/>
    <w:rsid w:val="00FC534C"/>
    <w:rsid w:val="00FD0C8D"/>
    <w:rsid w:val="00FE3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CB"/>
    <w:pPr>
      <w:spacing w:after="200" w:line="276" w:lineRule="auto"/>
    </w:pPr>
    <w:rPr>
      <w:rFonts w:ascii="Times New Roman" w:eastAsia="宋体" w:hAnsi="Times New Roman" w:cs="Times New Roman"/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1BC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rsid w:val="00C91B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1BCB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rsid w:val="00C91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141CC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141CC"/>
    <w:rPr>
      <w:rFonts w:ascii="Times New Roman" w:eastAsia="宋体" w:hAnsi="Times New Roman" w:cs="Times New Roman"/>
      <w:kern w:val="0"/>
      <w:sz w:val="18"/>
      <w:szCs w:val="18"/>
      <w:lang w:eastAsia="en-US" w:bidi="en-US"/>
    </w:rPr>
  </w:style>
  <w:style w:type="paragraph" w:styleId="a6">
    <w:name w:val="List Paragraph"/>
    <w:basedOn w:val="a"/>
    <w:uiPriority w:val="34"/>
    <w:qFormat/>
    <w:rsid w:val="00832B4A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2D4D4F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D4D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xsswzx.cdu.edu.cn:81/c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Administrator</cp:lastModifiedBy>
  <cp:revision>269</cp:revision>
  <cp:lastPrinted>2019-11-28T01:21:00Z</cp:lastPrinted>
  <dcterms:created xsi:type="dcterms:W3CDTF">2015-11-03T08:30:00Z</dcterms:created>
  <dcterms:modified xsi:type="dcterms:W3CDTF">2019-12-03T02:56:00Z</dcterms:modified>
</cp:coreProperties>
</file>